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9B" w:rsidRPr="00581499" w:rsidRDefault="00897D9B" w:rsidP="00897D9B">
      <w:pPr>
        <w:pStyle w:val="Heading1"/>
        <w:jc w:val="both"/>
        <w:rPr>
          <w:lang w:val="en-US"/>
        </w:rPr>
      </w:pPr>
      <w:bookmarkStart w:id="0" w:name="_Toc143821563"/>
      <w:r w:rsidRPr="00581499">
        <w:rPr>
          <w:bCs/>
          <w:sz w:val="24"/>
          <w:szCs w:val="24"/>
          <w:lang w:val="vi-VN"/>
        </w:rPr>
        <w:t xml:space="preserve">VIÊM </w:t>
      </w:r>
      <w:r w:rsidRPr="00581499">
        <w:rPr>
          <w:bCs/>
          <w:sz w:val="24"/>
          <w:szCs w:val="24"/>
        </w:rPr>
        <w:t>TỤY</w:t>
      </w:r>
      <w:r w:rsidRPr="00581499">
        <w:rPr>
          <w:sz w:val="24"/>
          <w:szCs w:val="24"/>
        </w:rPr>
        <w:t>,</w:t>
      </w:r>
      <w:r w:rsidRPr="00581499">
        <w:rPr>
          <w:lang w:val="vi-VN"/>
        </w:rPr>
        <w:t xml:space="preserve"> </w:t>
      </w:r>
      <w:r w:rsidRPr="00581499">
        <w:rPr>
          <w:b w:val="0"/>
          <w:bCs/>
          <w:lang w:val="vi-VN"/>
        </w:rPr>
        <w:t>tình trạng viêm của tụy</w:t>
      </w:r>
      <w:r w:rsidRPr="00581499">
        <w:rPr>
          <w:b w:val="0"/>
          <w:bCs/>
        </w:rPr>
        <w:t xml:space="preserve"> </w:t>
      </w:r>
      <w:r w:rsidRPr="00581499">
        <w:rPr>
          <w:b w:val="0"/>
          <w:bCs/>
          <w:lang w:val="vi-VN"/>
        </w:rPr>
        <w:t>- cơ quan có vai trò quan trọng trong tiêu hóa.</w:t>
      </w:r>
      <w:bookmarkEnd w:id="0"/>
      <w:r w:rsidRPr="00581499">
        <w:t xml:space="preserve"> </w:t>
      </w:r>
    </w:p>
    <w:p w:rsidR="00897D9B" w:rsidRPr="00581499" w:rsidRDefault="00897D9B" w:rsidP="00897D9B">
      <w:pPr>
        <w:tabs>
          <w:tab w:val="left" w:pos="1080"/>
        </w:tabs>
        <w:ind w:firstLine="567"/>
        <w:rPr>
          <w:sz w:val="28"/>
          <w:szCs w:val="28"/>
          <w:lang w:val="vi-VN"/>
        </w:rPr>
      </w:pPr>
      <w:r w:rsidRPr="00581499">
        <w:rPr>
          <w:sz w:val="28"/>
          <w:szCs w:val="28"/>
          <w:lang w:val="vi-VN"/>
        </w:rPr>
        <w:t>Tỉ lệ mắc VT cấp khoảng 40/100</w:t>
      </w:r>
      <w:r w:rsidRPr="00581499">
        <w:rPr>
          <w:sz w:val="28"/>
          <w:szCs w:val="28"/>
        </w:rPr>
        <w:t>.</w:t>
      </w:r>
      <w:r w:rsidRPr="00581499">
        <w:rPr>
          <w:sz w:val="28"/>
          <w:szCs w:val="28"/>
          <w:lang w:val="vi-VN"/>
        </w:rPr>
        <w:t xml:space="preserve">000 người lớn, với hai quốc gia có tỉ lệ mắc cao nhất là Mỹ và Phần Lan. VT thể nhẹ chiếm 80% các trường hợp với tỉ lệ tử vong dưới 1%, trong khi VT nặng (khoảng 20%) tỉ lệ tử vong có thể lên tới 30%. Tuổi VT thường găp nhất là từ 35-64 tuổi. </w:t>
      </w:r>
    </w:p>
    <w:p w:rsidR="00897D9B" w:rsidRPr="00581499" w:rsidRDefault="00897D9B" w:rsidP="00897D9B">
      <w:pPr>
        <w:tabs>
          <w:tab w:val="left" w:pos="1080"/>
        </w:tabs>
        <w:ind w:firstLine="567"/>
        <w:rPr>
          <w:sz w:val="28"/>
          <w:szCs w:val="28"/>
          <w:lang w:val="vi-VN"/>
        </w:rPr>
      </w:pPr>
      <w:r w:rsidRPr="00581499">
        <w:rPr>
          <w:sz w:val="28"/>
          <w:szCs w:val="28"/>
          <w:lang w:val="vi-VN"/>
        </w:rPr>
        <w:t xml:space="preserve">Tụy </w:t>
      </w:r>
      <w:r w:rsidRPr="008B25B4">
        <w:rPr>
          <w:sz w:val="28"/>
          <w:szCs w:val="28"/>
          <w:lang w:val="vi-VN"/>
        </w:rPr>
        <w:t>vừa</w:t>
      </w:r>
      <w:r w:rsidRPr="00581499">
        <w:rPr>
          <w:sz w:val="28"/>
          <w:szCs w:val="28"/>
          <w:lang w:val="vi-VN"/>
        </w:rPr>
        <w:t xml:space="preserve"> là tuyến nội tiết, vừa có chức năng ngoại tiết. Chức năng nội tiết của tụy là sản xuất 3 </w:t>
      </w:r>
      <w:bookmarkStart w:id="1" w:name="_Hlk102937894"/>
      <w:r w:rsidRPr="00581499">
        <w:rPr>
          <w:sz w:val="28"/>
          <w:szCs w:val="28"/>
          <w:lang w:val="vi-VN"/>
        </w:rPr>
        <w:t>hormone</w:t>
      </w:r>
      <w:bookmarkEnd w:id="1"/>
      <w:r w:rsidRPr="008B25B4">
        <w:rPr>
          <w:sz w:val="28"/>
          <w:szCs w:val="28"/>
          <w:lang w:val="vi-VN"/>
        </w:rPr>
        <w:t>:</w:t>
      </w:r>
      <w:r w:rsidRPr="00581499">
        <w:rPr>
          <w:sz w:val="28"/>
          <w:szCs w:val="28"/>
          <w:lang w:val="vi-VN"/>
        </w:rPr>
        <w:t xml:space="preserve"> insulin</w:t>
      </w:r>
      <w:r w:rsidRPr="008B25B4">
        <w:rPr>
          <w:sz w:val="28"/>
          <w:szCs w:val="28"/>
          <w:lang w:val="vi-VN"/>
        </w:rPr>
        <w:t>,</w:t>
      </w:r>
      <w:r w:rsidRPr="00581499">
        <w:rPr>
          <w:sz w:val="28"/>
          <w:szCs w:val="28"/>
          <w:lang w:val="vi-VN"/>
        </w:rPr>
        <w:t xml:space="preserve"> glucagon</w:t>
      </w:r>
      <w:r w:rsidRPr="008B25B4">
        <w:rPr>
          <w:sz w:val="28"/>
          <w:szCs w:val="28"/>
          <w:lang w:val="vi-VN"/>
        </w:rPr>
        <w:t xml:space="preserve"> và </w:t>
      </w:r>
      <w:r w:rsidRPr="00581499">
        <w:rPr>
          <w:sz w:val="28"/>
          <w:szCs w:val="28"/>
          <w:lang w:val="vi-VN"/>
        </w:rPr>
        <w:t>peptid ruột co mạch (VIP). Chức năng ngoại tiết của tụy là: (1) Sản xuất ra các enzyme tiêu hóa (tripsin, chymotrypsin, lipase, amylase</w:t>
      </w:r>
      <w:r w:rsidRPr="008B25B4">
        <w:rPr>
          <w:sz w:val="28"/>
          <w:szCs w:val="28"/>
          <w:lang w:val="vi-VN"/>
        </w:rPr>
        <w:t xml:space="preserve"> v.v.</w:t>
      </w:r>
      <w:r w:rsidRPr="00581499">
        <w:rPr>
          <w:sz w:val="28"/>
          <w:szCs w:val="28"/>
          <w:lang w:val="vi-VN"/>
        </w:rPr>
        <w:t xml:space="preserve">); (2) </w:t>
      </w:r>
      <w:r w:rsidRPr="008B25B4">
        <w:rPr>
          <w:sz w:val="28"/>
          <w:szCs w:val="28"/>
          <w:lang w:val="vi-VN"/>
        </w:rPr>
        <w:t>T</w:t>
      </w:r>
      <w:r w:rsidRPr="00581499">
        <w:rPr>
          <w:sz w:val="28"/>
          <w:szCs w:val="28"/>
          <w:lang w:val="vi-VN"/>
        </w:rPr>
        <w:t xml:space="preserve">hực hiện phân hủy các thành phần protein, chất béo và tinh bột của thức ăn. </w:t>
      </w:r>
      <w:r w:rsidRPr="008B25B4">
        <w:rPr>
          <w:sz w:val="28"/>
          <w:szCs w:val="28"/>
          <w:lang w:val="vi-VN"/>
        </w:rPr>
        <w:t xml:space="preserve">Bình thường, các enzyme được tụy sản xuất ở dạng tiền chất không được hoạt hóa cho tới khi được vận chuyển vào tá tràng, được hoạt hóa khi tiếp xúc với các hóa chất khác. Trong VT, các enzyme được hoạt hóa sớm, thực hiện chức năng tiêu hóa ngay trong cơ quan tụy. Một chu kỳ phản ứng viêm bắt đầu, bao gồm phù nề và mất chức năng, enzyme được hoạt hóa vào máu đi khắp cơ thể gây ra tác hại trên các cơ quan hệ thống chính. </w:t>
      </w:r>
    </w:p>
    <w:p w:rsidR="00897D9B" w:rsidRPr="00581499" w:rsidRDefault="00897D9B" w:rsidP="00897D9B">
      <w:pPr>
        <w:ind w:firstLine="567"/>
        <w:rPr>
          <w:sz w:val="28"/>
          <w:szCs w:val="28"/>
          <w:lang w:val="vi-VN"/>
        </w:rPr>
      </w:pPr>
      <w:r w:rsidRPr="00581499">
        <w:rPr>
          <w:sz w:val="28"/>
          <w:szCs w:val="28"/>
          <w:lang w:val="vi-VN"/>
        </w:rPr>
        <w:t>VT có hai loại, VT cấp tính  hoặc VT mạn tính. VT cấp xảy ra khi tụy bị viêm đột ngột, nhưng sau đó cải thiện, bệnh nhân hồi phục hoàn toàn. VT mạn tính tổn thương tụy xảy ra từ từ</w:t>
      </w:r>
      <w:r w:rsidRPr="008B25B4">
        <w:rPr>
          <w:sz w:val="28"/>
          <w:szCs w:val="28"/>
          <w:lang w:val="vi-VN"/>
        </w:rPr>
        <w:t>, c</w:t>
      </w:r>
      <w:r w:rsidRPr="00581499">
        <w:rPr>
          <w:sz w:val="28"/>
          <w:szCs w:val="28"/>
          <w:lang w:val="vi-VN"/>
        </w:rPr>
        <w:t xml:space="preserve">ác triệu chứng có thể bền vững hoặc xảy ra từng đợt, nhưng tình trạng này không mất đi và tụy hư hại trường diễn. Nhu mô tụy bị tổn thương, chức năng tế bào và mô bị suy giảm. </w:t>
      </w:r>
    </w:p>
    <w:p w:rsidR="00897D9B" w:rsidRPr="008B25B4" w:rsidRDefault="00897D9B" w:rsidP="00897D9B">
      <w:pPr>
        <w:tabs>
          <w:tab w:val="left" w:pos="1080"/>
        </w:tabs>
        <w:ind w:firstLine="567"/>
        <w:rPr>
          <w:sz w:val="28"/>
          <w:szCs w:val="28"/>
          <w:lang w:val="vi-VN"/>
        </w:rPr>
      </w:pPr>
      <w:r w:rsidRPr="00581499">
        <w:rPr>
          <w:b/>
          <w:sz w:val="28"/>
          <w:szCs w:val="28"/>
          <w:lang w:val="es-ES"/>
        </w:rPr>
        <w:t>Nguyên nhân</w:t>
      </w:r>
      <w:r w:rsidRPr="00581499">
        <w:rPr>
          <w:b/>
          <w:sz w:val="28"/>
          <w:szCs w:val="28"/>
          <w:lang w:val="vi-VN"/>
        </w:rPr>
        <w:t xml:space="preserve">: </w:t>
      </w:r>
      <w:r w:rsidRPr="00581499">
        <w:rPr>
          <w:sz w:val="28"/>
          <w:szCs w:val="28"/>
          <w:lang w:val="vi-VN"/>
        </w:rPr>
        <w:t>thường gặp nhất là do bệnh lý túi mật và nghiện rượu</w:t>
      </w:r>
      <w:r w:rsidRPr="008B25B4">
        <w:rPr>
          <w:sz w:val="28"/>
          <w:szCs w:val="28"/>
          <w:lang w:val="vi-VN"/>
        </w:rPr>
        <w:t xml:space="preserve"> chiếm 80% </w:t>
      </w:r>
      <w:r w:rsidRPr="00581499">
        <w:rPr>
          <w:sz w:val="28"/>
          <w:szCs w:val="28"/>
          <w:lang w:val="vi-VN"/>
        </w:rPr>
        <w:t xml:space="preserve">trường hợp VT cấp. </w:t>
      </w:r>
      <w:r w:rsidRPr="008B25B4">
        <w:rPr>
          <w:sz w:val="28"/>
          <w:szCs w:val="28"/>
          <w:lang w:val="vi-VN"/>
        </w:rPr>
        <w:t>Các nguyên nhân khác gồm:</w:t>
      </w:r>
      <w:r w:rsidRPr="00581499">
        <w:rPr>
          <w:sz w:val="28"/>
          <w:szCs w:val="28"/>
          <w:lang w:val="vi-VN"/>
        </w:rPr>
        <w:t xml:space="preserve"> (1) </w:t>
      </w:r>
      <w:r w:rsidRPr="008B25B4">
        <w:rPr>
          <w:sz w:val="28"/>
          <w:szCs w:val="28"/>
          <w:lang w:val="vi-VN"/>
        </w:rPr>
        <w:t>Một số loại thuốc (thuốc ức chế men chuyển</w:t>
      </w:r>
      <w:r w:rsidRPr="00581499">
        <w:rPr>
          <w:sz w:val="28"/>
          <w:szCs w:val="28"/>
          <w:lang w:val="vi-VN"/>
        </w:rPr>
        <w:t xml:space="preserve">; </w:t>
      </w:r>
      <w:r w:rsidRPr="008B25B4">
        <w:rPr>
          <w:sz w:val="28"/>
          <w:szCs w:val="28"/>
          <w:lang w:val="vi-VN"/>
        </w:rPr>
        <w:t>Eryhromycin, Methyldopa, Metronidazon</w:t>
      </w:r>
      <w:r w:rsidRPr="00581499">
        <w:rPr>
          <w:sz w:val="28"/>
          <w:szCs w:val="28"/>
          <w:lang w:val="vi-VN"/>
        </w:rPr>
        <w:t xml:space="preserve">; </w:t>
      </w:r>
      <w:r w:rsidRPr="008B25B4">
        <w:rPr>
          <w:sz w:val="28"/>
          <w:szCs w:val="28"/>
          <w:lang w:val="vi-VN"/>
        </w:rPr>
        <w:t>Nitrofurantoin</w:t>
      </w:r>
      <w:r w:rsidRPr="00581499">
        <w:rPr>
          <w:sz w:val="28"/>
          <w:szCs w:val="28"/>
          <w:lang w:val="vi-VN"/>
        </w:rPr>
        <w:t xml:space="preserve">; </w:t>
      </w:r>
      <w:r w:rsidRPr="008B25B4">
        <w:rPr>
          <w:sz w:val="28"/>
          <w:szCs w:val="28"/>
          <w:lang w:val="vi-VN"/>
        </w:rPr>
        <w:t>NSAIDs</w:t>
      </w:r>
      <w:r w:rsidRPr="00581499">
        <w:rPr>
          <w:sz w:val="28"/>
          <w:szCs w:val="28"/>
          <w:lang w:val="vi-VN"/>
        </w:rPr>
        <w:t xml:space="preserve">; </w:t>
      </w:r>
      <w:r w:rsidRPr="008B25B4">
        <w:rPr>
          <w:sz w:val="28"/>
          <w:szCs w:val="28"/>
          <w:lang w:val="vi-VN"/>
        </w:rPr>
        <w:t>Salicylats)</w:t>
      </w:r>
      <w:r w:rsidRPr="00581499">
        <w:rPr>
          <w:sz w:val="28"/>
          <w:szCs w:val="28"/>
          <w:lang w:val="vi-VN"/>
        </w:rPr>
        <w:t xml:space="preserve">; (2) </w:t>
      </w:r>
      <w:r w:rsidRPr="008B25B4">
        <w:rPr>
          <w:sz w:val="28"/>
          <w:szCs w:val="28"/>
          <w:lang w:val="vi-VN"/>
        </w:rPr>
        <w:t>Nhiễm khuẩn</w:t>
      </w:r>
      <w:r w:rsidRPr="00581499">
        <w:rPr>
          <w:sz w:val="28"/>
          <w:szCs w:val="28"/>
          <w:lang w:val="vi-VN"/>
        </w:rPr>
        <w:t xml:space="preserve">; (3) </w:t>
      </w:r>
      <w:r w:rsidRPr="008B25B4">
        <w:rPr>
          <w:sz w:val="28"/>
          <w:szCs w:val="28"/>
          <w:lang w:val="vi-VN"/>
        </w:rPr>
        <w:t>Bất thường cấu trúc ống mật và ống tụy</w:t>
      </w:r>
      <w:r w:rsidRPr="00581499">
        <w:rPr>
          <w:sz w:val="28"/>
          <w:szCs w:val="28"/>
          <w:lang w:val="vi-VN"/>
        </w:rPr>
        <w:t xml:space="preserve">; (4) </w:t>
      </w:r>
      <w:r w:rsidRPr="008B25B4">
        <w:rPr>
          <w:sz w:val="28"/>
          <w:szCs w:val="28"/>
          <w:lang w:val="vi-VN"/>
        </w:rPr>
        <w:t>Chấn thương tụy, chấn thương tụy liên quan đến phẫu thuật.</w:t>
      </w:r>
      <w:r w:rsidRPr="00581499">
        <w:rPr>
          <w:sz w:val="28"/>
          <w:szCs w:val="28"/>
          <w:lang w:val="vi-VN"/>
        </w:rPr>
        <w:t xml:space="preserve">; (5) </w:t>
      </w:r>
      <w:r w:rsidRPr="008B25B4">
        <w:rPr>
          <w:sz w:val="28"/>
          <w:szCs w:val="28"/>
          <w:lang w:val="vi-VN"/>
        </w:rPr>
        <w:t>Tăng mỡ máu</w:t>
      </w:r>
      <w:r w:rsidRPr="00581499">
        <w:rPr>
          <w:sz w:val="28"/>
          <w:szCs w:val="28"/>
          <w:lang w:val="vi-VN"/>
        </w:rPr>
        <w:t xml:space="preserve">; (6) </w:t>
      </w:r>
      <w:r w:rsidRPr="008B25B4">
        <w:rPr>
          <w:sz w:val="28"/>
          <w:szCs w:val="28"/>
          <w:lang w:val="vi-VN"/>
        </w:rPr>
        <w:t>Rối loạn chức năng tuyến cận giáp</w:t>
      </w:r>
      <w:r w:rsidRPr="00581499">
        <w:rPr>
          <w:sz w:val="28"/>
          <w:szCs w:val="28"/>
          <w:lang w:val="vi-VN"/>
        </w:rPr>
        <w:t>; (</w:t>
      </w:r>
      <w:r w:rsidRPr="008B25B4">
        <w:rPr>
          <w:sz w:val="28"/>
          <w:szCs w:val="28"/>
          <w:lang w:val="vi-VN"/>
        </w:rPr>
        <w:t>7</w:t>
      </w:r>
      <w:r w:rsidRPr="00581499">
        <w:rPr>
          <w:sz w:val="28"/>
          <w:szCs w:val="28"/>
          <w:lang w:val="vi-VN"/>
        </w:rPr>
        <w:t xml:space="preserve">) </w:t>
      </w:r>
      <w:r w:rsidRPr="008B25B4">
        <w:rPr>
          <w:sz w:val="28"/>
          <w:szCs w:val="28"/>
          <w:lang w:val="vi-VN"/>
        </w:rPr>
        <w:t>Khuynh hướng gia đình bị.</w:t>
      </w:r>
    </w:p>
    <w:p w:rsidR="00897D9B" w:rsidRPr="008B25B4" w:rsidRDefault="00897D9B" w:rsidP="00897D9B">
      <w:pPr>
        <w:rPr>
          <w:sz w:val="28"/>
          <w:szCs w:val="28"/>
          <w:lang w:val="vi-VN"/>
        </w:rPr>
      </w:pPr>
      <w:r w:rsidRPr="008B25B4">
        <w:rPr>
          <w:b/>
          <w:bCs/>
          <w:sz w:val="28"/>
          <w:szCs w:val="28"/>
          <w:lang w:val="vi-VN"/>
        </w:rPr>
        <w:t>Triệu chứng:</w:t>
      </w:r>
      <w:r w:rsidRPr="008B25B4">
        <w:rPr>
          <w:sz w:val="28"/>
          <w:szCs w:val="28"/>
          <w:lang w:val="vi-VN"/>
        </w:rPr>
        <w:t xml:space="preserve"> đau bụng thường nặng làm cho bệnh nhân không dám thở sâu và âm ỉ, khu trú vùng bụng trên bên phải, lan ra sau lưng, ngồi dậy và cúi về trước </w:t>
      </w:r>
      <w:r w:rsidRPr="008B25B4">
        <w:rPr>
          <w:sz w:val="28"/>
          <w:szCs w:val="28"/>
          <w:lang w:val="vi-VN"/>
        </w:rPr>
        <w:lastRenderedPageBreak/>
        <w:t>đỡ đau; buồn nôn, nôn và trướng bụng ; sốt nhẹ, nhịp tim nhanh và huyết áp thấp. Trong các trường hợp VT nặng có shock: chân tay lạnh, huyết áp tụt, mạch nhanh, và có thể có rối loạn ý thức.</w:t>
      </w:r>
    </w:p>
    <w:p w:rsidR="00897D9B" w:rsidRPr="008B25B4" w:rsidRDefault="00897D9B" w:rsidP="00897D9B">
      <w:pPr>
        <w:ind w:firstLine="567"/>
        <w:rPr>
          <w:sz w:val="28"/>
          <w:szCs w:val="28"/>
          <w:lang w:val="vi-VN"/>
        </w:rPr>
      </w:pPr>
      <w:r w:rsidRPr="008B25B4">
        <w:rPr>
          <w:sz w:val="28"/>
          <w:szCs w:val="28"/>
          <w:lang w:val="vi-VN"/>
        </w:rPr>
        <w:t>Trường hợp VT cấp rất nặng có tình trạng chảy máu trong ổ bụng, có 2 dấu hiệu đặc trưng có thể ghi nhận là dấu hiệu Turner (vết bầm máu màu tím đỏ hoặc nâu xanh ở bên hông) và dấu hiệu Cullen (vết bầm máu ở quanh rốn).</w:t>
      </w:r>
    </w:p>
    <w:p w:rsidR="00897D9B" w:rsidRPr="008B25B4" w:rsidRDefault="00897D9B" w:rsidP="00897D9B">
      <w:pPr>
        <w:ind w:firstLine="567"/>
        <w:rPr>
          <w:sz w:val="28"/>
          <w:szCs w:val="28"/>
          <w:lang w:val="vi-VN"/>
        </w:rPr>
      </w:pPr>
      <w:r w:rsidRPr="008B25B4">
        <w:rPr>
          <w:sz w:val="28"/>
          <w:szCs w:val="28"/>
          <w:lang w:val="vi-VN"/>
        </w:rPr>
        <w:t>Biến chứng toàn thân của VT cấp: tổn thương</w:t>
      </w:r>
      <w:r w:rsidRPr="00581499">
        <w:rPr>
          <w:sz w:val="28"/>
          <w:szCs w:val="28"/>
          <w:lang w:val="vi-VN"/>
        </w:rPr>
        <w:t xml:space="preserve"> và</w:t>
      </w:r>
      <w:r w:rsidRPr="008B25B4">
        <w:rPr>
          <w:sz w:val="28"/>
          <w:szCs w:val="28"/>
          <w:lang w:val="vi-VN"/>
        </w:rPr>
        <w:t xml:space="preserve"> </w:t>
      </w:r>
      <w:r w:rsidRPr="00581499">
        <w:rPr>
          <w:sz w:val="28"/>
          <w:szCs w:val="28"/>
          <w:lang w:val="vi-VN"/>
        </w:rPr>
        <w:t>suy</w:t>
      </w:r>
      <w:r w:rsidRPr="008B25B4">
        <w:rPr>
          <w:sz w:val="28"/>
          <w:szCs w:val="28"/>
          <w:lang w:val="vi-VN"/>
        </w:rPr>
        <w:t xml:space="preserve"> các cơ quan của cơ thể; hình thành cục máu đông có thể gây tắc, làm giảm tưới máu cơ quan. Ngoài ra còn có các biến chứng tại chỗ: hoại tử tụy, nang giả tụy, áp xe tụy hoặc vỡ nang tụy.</w:t>
      </w:r>
    </w:p>
    <w:p w:rsidR="00897D9B" w:rsidRPr="008B25B4" w:rsidRDefault="00897D9B" w:rsidP="00897D9B">
      <w:pPr>
        <w:ind w:firstLine="567"/>
        <w:rPr>
          <w:sz w:val="28"/>
          <w:szCs w:val="28"/>
          <w:lang w:val="vi-VN"/>
        </w:rPr>
      </w:pPr>
      <w:r w:rsidRPr="008B25B4">
        <w:rPr>
          <w:sz w:val="28"/>
          <w:szCs w:val="28"/>
          <w:lang w:val="vi-VN"/>
        </w:rPr>
        <w:t xml:space="preserve">Trong VT mạn, các hormone và enzyme do tụy sản xuất bị giảm nặng làm ảnh hưởng quá trình tiêu hóa thức ăn, gây đi lỏng, teo yếu cơ, suy dinh dưỡng, có thể dẫn đến đái tháo đường. </w:t>
      </w:r>
    </w:p>
    <w:p w:rsidR="00897D9B" w:rsidRPr="008B25B4" w:rsidRDefault="00897D9B" w:rsidP="00897D9B">
      <w:pPr>
        <w:tabs>
          <w:tab w:val="left" w:pos="1080"/>
        </w:tabs>
        <w:ind w:firstLine="567"/>
        <w:rPr>
          <w:sz w:val="28"/>
          <w:szCs w:val="28"/>
          <w:lang w:val="vi-VN"/>
        </w:rPr>
      </w:pPr>
      <w:r w:rsidRPr="00581499">
        <w:rPr>
          <w:b/>
          <w:sz w:val="28"/>
          <w:szCs w:val="28"/>
          <w:lang w:val="es-ES"/>
        </w:rPr>
        <w:t>Chẩn đoán</w:t>
      </w:r>
      <w:r w:rsidRPr="00581499">
        <w:rPr>
          <w:b/>
          <w:sz w:val="28"/>
          <w:szCs w:val="28"/>
          <w:lang w:val="vi-VN"/>
        </w:rPr>
        <w:t xml:space="preserve">: </w:t>
      </w:r>
      <w:r w:rsidRPr="008B25B4">
        <w:rPr>
          <w:sz w:val="28"/>
          <w:szCs w:val="28"/>
          <w:lang w:val="vi-VN"/>
        </w:rPr>
        <w:t>có thể chẩn đoán VT cấp sớm thông qua tăng các ezyme tụy lưu hành trong máu (amylase và lipase), đây không phải là tiêu chuẩn bắt buộc. Các bất thường xét nghiệm khác cũng giúp cho chẩn đoán VT như tăng bạch cầu (phản ánh viêm, nhiễm khuẩn), các thay đổi do tình trạng mất nước, các bất thường nồng độ calci, natri, kali, bicarbonate, đường.</w:t>
      </w:r>
    </w:p>
    <w:p w:rsidR="00897D9B" w:rsidRPr="008B25B4" w:rsidRDefault="00897D9B" w:rsidP="00897D9B">
      <w:pPr>
        <w:ind w:firstLine="567"/>
        <w:rPr>
          <w:sz w:val="28"/>
          <w:szCs w:val="28"/>
          <w:lang w:val="vi-VN"/>
        </w:rPr>
      </w:pPr>
      <w:r w:rsidRPr="008B25B4">
        <w:rPr>
          <w:sz w:val="28"/>
          <w:szCs w:val="28"/>
          <w:lang w:val="vi-VN"/>
        </w:rPr>
        <w:t>Chụp X-quang bụng hoặc siêu âm có thể phát hiện nguyên nhân gây VT (sỏi mật), dấu hiệu liệt ruột. . Chụp CT scan ổ bụng có thể phát hiện tình trạng viêm, tụ dịch, hoặc các biến chứng của VT như áp xe, nang giả tụy.</w:t>
      </w:r>
    </w:p>
    <w:p w:rsidR="00897D9B" w:rsidRPr="008B25B4" w:rsidRDefault="00897D9B" w:rsidP="00897D9B">
      <w:pPr>
        <w:ind w:firstLine="567"/>
        <w:rPr>
          <w:b/>
          <w:bCs/>
          <w:sz w:val="28"/>
          <w:szCs w:val="28"/>
          <w:lang w:val="vi-VN"/>
        </w:rPr>
      </w:pPr>
      <w:r w:rsidRPr="008B25B4">
        <w:rPr>
          <w:sz w:val="28"/>
          <w:szCs w:val="28"/>
          <w:lang w:val="vi-VN"/>
        </w:rPr>
        <w:t>Trong VT mạn, nhiều xét nghiệm máu sẽ cho thấy tình trạng mất chức năng tụy xảy ra theo thời gian, đường máu tăng, vôi hóa tuyến tụy trên X-quang..  Nội soi mật tụy ngược dòng (ERCP) có thể được sử dụng để chẩn đoán VT mạn trong những ca nặng.</w:t>
      </w:r>
      <w:r w:rsidRPr="008B25B4">
        <w:rPr>
          <w:b/>
          <w:bCs/>
          <w:sz w:val="28"/>
          <w:szCs w:val="28"/>
          <w:lang w:val="vi-VN"/>
        </w:rPr>
        <w:t xml:space="preserve"> </w:t>
      </w:r>
    </w:p>
    <w:p w:rsidR="00897D9B" w:rsidRPr="008B25B4" w:rsidRDefault="00897D9B" w:rsidP="00897D9B">
      <w:pPr>
        <w:tabs>
          <w:tab w:val="left" w:pos="1080"/>
        </w:tabs>
        <w:ind w:firstLine="567"/>
        <w:rPr>
          <w:sz w:val="28"/>
          <w:szCs w:val="28"/>
          <w:lang w:val="vi-VN"/>
        </w:rPr>
      </w:pPr>
      <w:r w:rsidRPr="00581499">
        <w:rPr>
          <w:b/>
          <w:sz w:val="28"/>
          <w:szCs w:val="28"/>
          <w:lang w:val="es-ES"/>
        </w:rPr>
        <w:t>Điều trị</w:t>
      </w:r>
      <w:r w:rsidRPr="00581499">
        <w:rPr>
          <w:b/>
          <w:sz w:val="28"/>
          <w:szCs w:val="28"/>
          <w:lang w:val="vi-VN"/>
        </w:rPr>
        <w:t xml:space="preserve">: </w:t>
      </w:r>
      <w:r w:rsidRPr="008B25B4">
        <w:rPr>
          <w:sz w:val="28"/>
          <w:szCs w:val="28"/>
          <w:lang w:val="vi-VN"/>
        </w:rPr>
        <w:t xml:space="preserve">điều trị VT bao gồm bồi phụ đầy đủ và nhanh chóng khối lượng tuần hoàn bị mất bằng truyền dịch tĩnh mạch.  Bệnh nhân nhịn ăn nhằm giảm tiết enzyme tụy. Có thể đặt sonde dạ dày để tháo dịch và khí ứ đọng trong dạ dày do tình trạng </w:t>
      </w:r>
      <w:r w:rsidRPr="008B25B4">
        <w:rPr>
          <w:sz w:val="28"/>
          <w:szCs w:val="28"/>
          <w:lang w:val="vi-VN"/>
        </w:rPr>
        <w:lastRenderedPageBreak/>
        <w:t>liệt ruột gây ra. Bệnh nhân có thể cần được cho thở oxy qua mũi hoặc mask. Điều trị giảm đau.</w:t>
      </w:r>
    </w:p>
    <w:p w:rsidR="00897D9B" w:rsidRPr="008B25B4" w:rsidRDefault="00897D9B" w:rsidP="00897D9B">
      <w:pPr>
        <w:ind w:firstLine="567"/>
        <w:rPr>
          <w:sz w:val="28"/>
          <w:szCs w:val="28"/>
          <w:lang w:val="vi-VN"/>
        </w:rPr>
      </w:pPr>
      <w:r w:rsidRPr="008B25B4">
        <w:rPr>
          <w:sz w:val="28"/>
          <w:szCs w:val="28"/>
          <w:lang w:val="vi-VN"/>
        </w:rPr>
        <w:t>Kháng sinh được chỉ định trong các trường hợp có nhiễm khuẩn.  Trong trường hợp có sỏi túi mật, cần phẫu thuật lấy sỏi; nếu tình trạng bệnh nhân quá nặng, các phẫu thuật nên trì hoãn để điều trị nhiễm khuẩn và chờ tình trạng bệnh nhân ổn định.</w:t>
      </w:r>
    </w:p>
    <w:p w:rsidR="00897D9B" w:rsidRPr="008B25B4" w:rsidRDefault="00897D9B" w:rsidP="00897D9B">
      <w:pPr>
        <w:ind w:firstLine="567"/>
        <w:rPr>
          <w:sz w:val="28"/>
          <w:szCs w:val="28"/>
          <w:lang w:val="vi-VN"/>
        </w:rPr>
      </w:pPr>
      <w:r w:rsidRPr="008B25B4">
        <w:rPr>
          <w:sz w:val="28"/>
          <w:szCs w:val="28"/>
          <w:lang w:val="vi-VN"/>
        </w:rPr>
        <w:t xml:space="preserve">VT mạn do rượu thì bệnh nhân cần phải bỏ rượu tuyệt đối. Khi tình trạng VT mạn tiến triển, nồng độ insulin giảm, bệnh nhân cần được tiêm insulin để giữ ổn định đường huyết. Các men tụy được bổ sung bằng đường uống. Một số trường hợp VT mạn bị đau bụng dai dẳng cần điều trị phẫu thuật hoặc các thuốc giảm đau. </w:t>
      </w:r>
    </w:p>
    <w:p w:rsidR="00897D9B" w:rsidRPr="008B25B4" w:rsidRDefault="00897D9B" w:rsidP="00897D9B">
      <w:pPr>
        <w:tabs>
          <w:tab w:val="left" w:pos="1080"/>
        </w:tabs>
        <w:ind w:firstLine="567"/>
        <w:rPr>
          <w:sz w:val="28"/>
          <w:szCs w:val="28"/>
          <w:lang w:val="vi-VN"/>
        </w:rPr>
      </w:pPr>
      <w:r w:rsidRPr="00581499">
        <w:rPr>
          <w:b/>
          <w:sz w:val="28"/>
          <w:szCs w:val="28"/>
          <w:lang w:val="es-ES"/>
        </w:rPr>
        <w:t>Tiên lượng</w:t>
      </w:r>
      <w:r w:rsidRPr="00581499">
        <w:rPr>
          <w:b/>
          <w:sz w:val="28"/>
          <w:szCs w:val="28"/>
          <w:lang w:val="vi-VN"/>
        </w:rPr>
        <w:t xml:space="preserve">: </w:t>
      </w:r>
      <w:r w:rsidRPr="008B25B4">
        <w:rPr>
          <w:sz w:val="28"/>
          <w:szCs w:val="28"/>
          <w:lang w:val="vi-VN"/>
        </w:rPr>
        <w:t>khi có 2 biến chứng hoại tử tụy và chảy máu, tỉ lệ tử vong có thể lên tới 50%.</w:t>
      </w:r>
    </w:p>
    <w:p w:rsidR="00897D9B" w:rsidRPr="008B25B4" w:rsidRDefault="00897D9B" w:rsidP="00897D9B">
      <w:pPr>
        <w:ind w:firstLine="567"/>
        <w:rPr>
          <w:sz w:val="28"/>
          <w:szCs w:val="28"/>
          <w:lang w:val="vi-VN"/>
        </w:rPr>
      </w:pPr>
      <w:r w:rsidRPr="008B25B4">
        <w:rPr>
          <w:sz w:val="28"/>
          <w:szCs w:val="28"/>
          <w:lang w:val="vi-VN"/>
        </w:rPr>
        <w:t>Bảng tiên lượng Ranson gồm 11 chỉ tiêu khác nhau, 5 chỉ tiêu khi nhập viện:</w:t>
      </w:r>
      <w:r w:rsidRPr="00581499">
        <w:rPr>
          <w:sz w:val="28"/>
          <w:szCs w:val="28"/>
          <w:lang w:val="vi-VN"/>
        </w:rPr>
        <w:t xml:space="preserve"> (1) </w:t>
      </w:r>
      <w:r w:rsidRPr="008B25B4">
        <w:rPr>
          <w:sz w:val="28"/>
          <w:szCs w:val="28"/>
          <w:lang w:val="vi-VN"/>
        </w:rPr>
        <w:t>Tuổi &gt; 55</w:t>
      </w:r>
      <w:r w:rsidRPr="00581499">
        <w:rPr>
          <w:sz w:val="28"/>
          <w:szCs w:val="28"/>
          <w:lang w:val="vi-VN"/>
        </w:rPr>
        <w:t xml:space="preserve">; (2) </w:t>
      </w:r>
      <w:r w:rsidRPr="008B25B4">
        <w:rPr>
          <w:sz w:val="28"/>
          <w:szCs w:val="28"/>
          <w:lang w:val="vi-VN"/>
        </w:rPr>
        <w:t>Glucose máu &gt; 200mg/Dl</w:t>
      </w:r>
      <w:r w:rsidRPr="00581499">
        <w:rPr>
          <w:sz w:val="28"/>
          <w:szCs w:val="28"/>
          <w:lang w:val="vi-VN"/>
        </w:rPr>
        <w:t xml:space="preserve">; (3) </w:t>
      </w:r>
      <w:r w:rsidRPr="008B25B4">
        <w:rPr>
          <w:sz w:val="28"/>
          <w:szCs w:val="28"/>
          <w:lang w:val="vi-VN"/>
        </w:rPr>
        <w:t>LDH &gt; 350IU/L</w:t>
      </w:r>
      <w:r w:rsidRPr="00581499">
        <w:rPr>
          <w:sz w:val="28"/>
          <w:szCs w:val="28"/>
          <w:lang w:val="vi-VN"/>
        </w:rPr>
        <w:t xml:space="preserve">; (4) </w:t>
      </w:r>
      <w:r w:rsidRPr="008B25B4">
        <w:rPr>
          <w:sz w:val="28"/>
          <w:szCs w:val="28"/>
          <w:lang w:val="vi-VN"/>
        </w:rPr>
        <w:t>AST&gt; 250mU</w:t>
      </w:r>
      <w:r w:rsidRPr="00581499">
        <w:rPr>
          <w:sz w:val="28"/>
          <w:szCs w:val="28"/>
          <w:lang w:val="vi-VN"/>
        </w:rPr>
        <w:t xml:space="preserve">; (5) </w:t>
      </w:r>
      <w:r w:rsidRPr="008B25B4">
        <w:rPr>
          <w:sz w:val="28"/>
          <w:szCs w:val="28"/>
          <w:lang w:val="vi-VN"/>
        </w:rPr>
        <w:t>Bạch cầu &gt; 16,000u/L</w:t>
      </w:r>
      <w:r w:rsidRPr="00581499">
        <w:rPr>
          <w:sz w:val="28"/>
          <w:szCs w:val="28"/>
          <w:lang w:val="vi-VN"/>
        </w:rPr>
        <w:t xml:space="preserve">;  </w:t>
      </w:r>
      <w:r w:rsidRPr="008B25B4">
        <w:rPr>
          <w:sz w:val="28"/>
          <w:szCs w:val="28"/>
          <w:lang w:val="vi-VN"/>
        </w:rPr>
        <w:t>6 chỉ tiêu sau được đánh giá tại thời điểm 48 giờ sau nhập viện, gồm:</w:t>
      </w:r>
      <w:r w:rsidRPr="00581499">
        <w:rPr>
          <w:sz w:val="28"/>
          <w:szCs w:val="28"/>
          <w:lang w:val="vi-VN"/>
        </w:rPr>
        <w:t xml:space="preserve"> (</w:t>
      </w:r>
      <w:r w:rsidRPr="008B25B4">
        <w:rPr>
          <w:sz w:val="28"/>
          <w:szCs w:val="28"/>
          <w:lang w:val="vi-VN"/>
        </w:rPr>
        <w:t>1</w:t>
      </w:r>
      <w:r w:rsidRPr="00581499">
        <w:rPr>
          <w:sz w:val="28"/>
          <w:szCs w:val="28"/>
          <w:lang w:val="vi-VN"/>
        </w:rPr>
        <w:t xml:space="preserve">) </w:t>
      </w:r>
      <w:r w:rsidRPr="008B25B4">
        <w:rPr>
          <w:sz w:val="28"/>
          <w:szCs w:val="28"/>
          <w:lang w:val="vi-VN"/>
        </w:rPr>
        <w:t>Giảm hematocrit trên 10%</w:t>
      </w:r>
      <w:r w:rsidRPr="00581499">
        <w:rPr>
          <w:sz w:val="28"/>
          <w:szCs w:val="28"/>
          <w:lang w:val="vi-VN"/>
        </w:rPr>
        <w:t>; (</w:t>
      </w:r>
      <w:r w:rsidRPr="008B25B4">
        <w:rPr>
          <w:sz w:val="28"/>
          <w:szCs w:val="28"/>
          <w:lang w:val="vi-VN"/>
        </w:rPr>
        <w:t>2</w:t>
      </w:r>
      <w:r w:rsidRPr="00581499">
        <w:rPr>
          <w:sz w:val="28"/>
          <w:szCs w:val="28"/>
          <w:lang w:val="vi-VN"/>
        </w:rPr>
        <w:t xml:space="preserve">) </w:t>
      </w:r>
      <w:r w:rsidRPr="008B25B4">
        <w:rPr>
          <w:sz w:val="28"/>
          <w:szCs w:val="28"/>
          <w:lang w:val="vi-VN"/>
        </w:rPr>
        <w:t>Tăng BUN trên 5mg/dL</w:t>
      </w:r>
      <w:r w:rsidRPr="00581499">
        <w:rPr>
          <w:sz w:val="28"/>
          <w:szCs w:val="28"/>
          <w:lang w:val="vi-VN"/>
        </w:rPr>
        <w:t>; (</w:t>
      </w:r>
      <w:r w:rsidRPr="008B25B4">
        <w:rPr>
          <w:sz w:val="28"/>
          <w:szCs w:val="28"/>
          <w:lang w:val="vi-VN"/>
        </w:rPr>
        <w:t>3</w:t>
      </w:r>
      <w:r w:rsidRPr="00581499">
        <w:rPr>
          <w:sz w:val="28"/>
          <w:szCs w:val="28"/>
          <w:lang w:val="vi-VN"/>
        </w:rPr>
        <w:t xml:space="preserve">) </w:t>
      </w:r>
      <w:r w:rsidRPr="008B25B4">
        <w:rPr>
          <w:sz w:val="28"/>
          <w:szCs w:val="28"/>
          <w:lang w:val="vi-VN"/>
        </w:rPr>
        <w:t>Calci máu &lt; 8mg/dL</w:t>
      </w:r>
      <w:r w:rsidRPr="00581499">
        <w:rPr>
          <w:sz w:val="28"/>
          <w:szCs w:val="28"/>
          <w:lang w:val="vi-VN"/>
        </w:rPr>
        <w:t>; (</w:t>
      </w:r>
      <w:r w:rsidRPr="008B25B4">
        <w:rPr>
          <w:sz w:val="28"/>
          <w:szCs w:val="28"/>
          <w:lang w:val="vi-VN"/>
        </w:rPr>
        <w:t>4</w:t>
      </w:r>
      <w:r w:rsidRPr="00581499">
        <w:rPr>
          <w:sz w:val="28"/>
          <w:szCs w:val="28"/>
          <w:lang w:val="vi-VN"/>
        </w:rPr>
        <w:t xml:space="preserve">) </w:t>
      </w:r>
      <w:r w:rsidRPr="008B25B4">
        <w:rPr>
          <w:sz w:val="28"/>
          <w:szCs w:val="28"/>
          <w:lang w:val="vi-VN"/>
        </w:rPr>
        <w:t>PaO2 &lt; 60mmHg</w:t>
      </w:r>
      <w:r w:rsidRPr="00581499">
        <w:rPr>
          <w:sz w:val="28"/>
          <w:szCs w:val="28"/>
          <w:lang w:val="vi-VN"/>
        </w:rPr>
        <w:t>; (</w:t>
      </w:r>
      <w:r w:rsidRPr="008B25B4">
        <w:rPr>
          <w:sz w:val="28"/>
          <w:szCs w:val="28"/>
          <w:lang w:val="vi-VN"/>
        </w:rPr>
        <w:t>5</w:t>
      </w:r>
      <w:r w:rsidRPr="00581499">
        <w:rPr>
          <w:sz w:val="28"/>
          <w:szCs w:val="28"/>
          <w:lang w:val="vi-VN"/>
        </w:rPr>
        <w:t xml:space="preserve">) </w:t>
      </w:r>
      <w:r w:rsidRPr="008B25B4">
        <w:rPr>
          <w:sz w:val="28"/>
          <w:szCs w:val="28"/>
          <w:lang w:val="vi-VN"/>
        </w:rPr>
        <w:t>Thiếu hụt kiềm đệm trên 4 mEg/l</w:t>
      </w:r>
      <w:r w:rsidRPr="00581499">
        <w:rPr>
          <w:sz w:val="28"/>
          <w:szCs w:val="28"/>
          <w:lang w:val="vi-VN"/>
        </w:rPr>
        <w:t>; (</w:t>
      </w:r>
      <w:r w:rsidRPr="008B25B4">
        <w:rPr>
          <w:sz w:val="28"/>
          <w:szCs w:val="28"/>
          <w:lang w:val="vi-VN"/>
        </w:rPr>
        <w:t>6</w:t>
      </w:r>
      <w:r w:rsidRPr="00581499">
        <w:rPr>
          <w:sz w:val="28"/>
          <w:szCs w:val="28"/>
          <w:lang w:val="vi-VN"/>
        </w:rPr>
        <w:t xml:space="preserve">) </w:t>
      </w:r>
      <w:r w:rsidRPr="008B25B4">
        <w:rPr>
          <w:sz w:val="28"/>
          <w:szCs w:val="28"/>
          <w:lang w:val="vi-VN"/>
        </w:rPr>
        <w:t>Thiếu dịch tuần hoàn trên 6L. Nếu điểm Ranson dưới 3, nguy cơ tử vong &lt; 5%; điểm Ranson 3-4, nguy cơ tử vong 15-20%.</w:t>
      </w:r>
    </w:p>
    <w:p w:rsidR="00897D9B" w:rsidRPr="008B25B4" w:rsidRDefault="00897D9B" w:rsidP="00897D9B">
      <w:pPr>
        <w:ind w:firstLine="567"/>
        <w:rPr>
          <w:sz w:val="28"/>
          <w:szCs w:val="28"/>
          <w:lang w:val="vi-VN"/>
        </w:rPr>
      </w:pPr>
      <w:r w:rsidRPr="008B25B4">
        <w:rPr>
          <w:sz w:val="28"/>
          <w:szCs w:val="28"/>
          <w:lang w:val="vi-VN"/>
        </w:rPr>
        <w:t xml:space="preserve">Chụp CT ổ bụng, nếu tụy chỉ phù nề nhẹ, biểu hiện VT nhẹ; nếu tụy phù nề nhiều, có hoại tử, tụ dịch trong ổ bụng là biểu hiện của VT nặng. </w:t>
      </w:r>
    </w:p>
    <w:p w:rsidR="00897D9B" w:rsidRPr="008B25B4" w:rsidRDefault="00897D9B" w:rsidP="00897D9B">
      <w:pPr>
        <w:tabs>
          <w:tab w:val="left" w:pos="1080"/>
        </w:tabs>
        <w:ind w:firstLine="567"/>
        <w:rPr>
          <w:sz w:val="28"/>
          <w:szCs w:val="28"/>
          <w:lang w:val="vi-VN"/>
        </w:rPr>
      </w:pPr>
      <w:r w:rsidRPr="00581499">
        <w:rPr>
          <w:b/>
          <w:sz w:val="28"/>
          <w:szCs w:val="28"/>
          <w:lang w:val="es-ES"/>
        </w:rPr>
        <w:t>Dự phòng</w:t>
      </w:r>
      <w:r w:rsidRPr="00581499">
        <w:rPr>
          <w:b/>
          <w:sz w:val="28"/>
          <w:szCs w:val="28"/>
          <w:lang w:val="vi-VN"/>
        </w:rPr>
        <w:t xml:space="preserve">: </w:t>
      </w:r>
      <w:r w:rsidRPr="008B25B4">
        <w:rPr>
          <w:sz w:val="28"/>
          <w:szCs w:val="28"/>
          <w:lang w:val="vi-VN"/>
        </w:rPr>
        <w:t>những người VT mạn phải kiêng rượu hoàn toàn. Tránh dùng các thuốc có thể gây VT.</w:t>
      </w:r>
    </w:p>
    <w:p w:rsidR="00897D9B" w:rsidRPr="00581499" w:rsidRDefault="00897D9B" w:rsidP="00897D9B">
      <w:pPr>
        <w:spacing w:before="120" w:after="0" w:line="276" w:lineRule="auto"/>
        <w:ind w:firstLine="567"/>
        <w:contextualSpacing/>
        <w:jc w:val="right"/>
        <w:rPr>
          <w:b/>
          <w:sz w:val="20"/>
          <w:szCs w:val="20"/>
          <w:lang w:val="vi-VN"/>
        </w:rPr>
      </w:pPr>
      <w:r w:rsidRPr="00581499">
        <w:rPr>
          <w:b/>
          <w:sz w:val="20"/>
          <w:szCs w:val="20"/>
          <w:lang w:val="vi-VN"/>
        </w:rPr>
        <w:t>MAI HỒNG BÀNG</w:t>
      </w:r>
    </w:p>
    <w:p w:rsidR="00897D9B" w:rsidRPr="00581499" w:rsidRDefault="00897D9B" w:rsidP="00897D9B">
      <w:pPr>
        <w:tabs>
          <w:tab w:val="left" w:pos="284"/>
        </w:tabs>
        <w:spacing w:after="0" w:line="276" w:lineRule="auto"/>
        <w:ind w:firstLine="0"/>
        <w:rPr>
          <w:b/>
          <w:lang w:val="es-ES"/>
        </w:rPr>
      </w:pPr>
      <w:r w:rsidRPr="00581499">
        <w:rPr>
          <w:b/>
          <w:lang w:val="es-ES"/>
        </w:rPr>
        <w:t>Tài liệu tham khảo</w:t>
      </w:r>
    </w:p>
    <w:p w:rsidR="00897D9B" w:rsidRPr="00581499" w:rsidRDefault="00897D9B" w:rsidP="00897D9B">
      <w:pPr>
        <w:pStyle w:val="ListParagraph"/>
        <w:numPr>
          <w:ilvl w:val="0"/>
          <w:numId w:val="2"/>
        </w:numPr>
        <w:tabs>
          <w:tab w:val="clear" w:pos="1134"/>
          <w:tab w:val="left" w:pos="284"/>
        </w:tabs>
        <w:spacing w:after="0" w:line="276" w:lineRule="auto"/>
        <w:ind w:left="0" w:firstLine="0"/>
        <w:rPr>
          <w:rStyle w:val="fontstyle01"/>
          <w:sz w:val="24"/>
          <w:szCs w:val="24"/>
        </w:rPr>
      </w:pPr>
      <w:r w:rsidRPr="00581499">
        <w:rPr>
          <w:rStyle w:val="fontstyle01"/>
          <w:sz w:val="24"/>
          <w:szCs w:val="24"/>
        </w:rPr>
        <w:t>Opie, Eugene Lindsay</w:t>
      </w:r>
      <w:r w:rsidRPr="00581499">
        <w:rPr>
          <w:rStyle w:val="fontstyle01"/>
          <w:sz w:val="24"/>
          <w:szCs w:val="24"/>
          <w:lang w:val="vi-VN"/>
        </w:rPr>
        <w:t>,</w:t>
      </w:r>
      <w:r w:rsidRPr="00581499">
        <w:rPr>
          <w:rStyle w:val="fontstyle01"/>
          <w:sz w:val="24"/>
          <w:szCs w:val="24"/>
        </w:rPr>
        <w:t xml:space="preserve"> </w:t>
      </w:r>
      <w:r w:rsidRPr="00581499">
        <w:rPr>
          <w:rStyle w:val="fontstyle01"/>
          <w:i/>
          <w:iCs/>
          <w:sz w:val="24"/>
          <w:szCs w:val="24"/>
        </w:rPr>
        <w:t>Disease of the Pancreas: Its Cause and Nature</w:t>
      </w:r>
      <w:r w:rsidRPr="00581499">
        <w:rPr>
          <w:rStyle w:val="fontstyle01"/>
          <w:sz w:val="24"/>
          <w:szCs w:val="24"/>
          <w:lang w:val="vi-VN"/>
        </w:rPr>
        <w:t xml:space="preserve">, </w:t>
      </w:r>
      <w:r w:rsidRPr="00581499">
        <w:rPr>
          <w:rStyle w:val="fontstyle01"/>
          <w:sz w:val="24"/>
          <w:szCs w:val="24"/>
        </w:rPr>
        <w:t>Charleston, SC: BiblioBazaar, 2009.</w:t>
      </w:r>
    </w:p>
    <w:p w:rsidR="00897D9B" w:rsidRPr="00581499" w:rsidRDefault="00897D9B" w:rsidP="00897D9B">
      <w:pPr>
        <w:tabs>
          <w:tab w:val="left" w:pos="284"/>
        </w:tabs>
        <w:spacing w:after="0" w:line="276" w:lineRule="auto"/>
        <w:ind w:firstLine="0"/>
        <w:rPr>
          <w:rStyle w:val="fontstyle01"/>
        </w:rPr>
      </w:pPr>
      <w:r w:rsidRPr="00581499">
        <w:rPr>
          <w:rStyle w:val="fontstyle01"/>
        </w:rPr>
        <w:t>2.Warner, Andrew S</w:t>
      </w:r>
      <w:r w:rsidRPr="00581499">
        <w:rPr>
          <w:rStyle w:val="fontstyle01"/>
          <w:lang w:val="vi-VN"/>
        </w:rPr>
        <w:t>,</w:t>
      </w:r>
      <w:r w:rsidRPr="00581499">
        <w:rPr>
          <w:rStyle w:val="fontstyle01"/>
        </w:rPr>
        <w:t xml:space="preserve"> </w:t>
      </w:r>
      <w:r w:rsidRPr="00581499">
        <w:rPr>
          <w:rStyle w:val="fontstyle01"/>
          <w:i/>
          <w:iCs/>
        </w:rPr>
        <w:t>100 Questions &amp; Answers About Your Digestive Health</w:t>
      </w:r>
      <w:r w:rsidRPr="00581499">
        <w:rPr>
          <w:rStyle w:val="fontstyle01"/>
          <w:lang w:val="vi-VN"/>
        </w:rPr>
        <w:t>,</w:t>
      </w:r>
      <w:r w:rsidRPr="00581499">
        <w:rPr>
          <w:rStyle w:val="fontstyle01"/>
        </w:rPr>
        <w:t xml:space="preserve"> New York, NY: Jones &amp; Bartlett Publishers, 2008.</w:t>
      </w:r>
    </w:p>
    <w:p w:rsidR="00897D9B" w:rsidRPr="00581499" w:rsidRDefault="00897D9B" w:rsidP="00897D9B">
      <w:pPr>
        <w:pStyle w:val="ListParagraph"/>
        <w:numPr>
          <w:ilvl w:val="0"/>
          <w:numId w:val="2"/>
        </w:numPr>
        <w:tabs>
          <w:tab w:val="clear" w:pos="1134"/>
          <w:tab w:val="left" w:pos="284"/>
        </w:tabs>
        <w:spacing w:after="0" w:line="276" w:lineRule="auto"/>
        <w:ind w:left="0" w:firstLine="0"/>
        <w:rPr>
          <w:rStyle w:val="fontstyle01"/>
          <w:sz w:val="24"/>
          <w:szCs w:val="24"/>
        </w:rPr>
      </w:pPr>
      <w:r w:rsidRPr="00581499">
        <w:rPr>
          <w:rStyle w:val="fontstyle01"/>
          <w:i/>
          <w:iCs/>
          <w:sz w:val="24"/>
          <w:szCs w:val="24"/>
          <w:lang w:val="vi-VN"/>
        </w:rPr>
        <w:lastRenderedPageBreak/>
        <w:t>“</w:t>
      </w:r>
      <w:r w:rsidRPr="00581499">
        <w:rPr>
          <w:rStyle w:val="fontstyle01"/>
          <w:i/>
          <w:iCs/>
          <w:sz w:val="24"/>
          <w:szCs w:val="24"/>
        </w:rPr>
        <w:t>Gallstones.rew S. 100 Questions &amp; Answers About Your Digestive Health. New Yo</w:t>
      </w:r>
      <w:r w:rsidRPr="00581499">
        <w:rPr>
          <w:rStyle w:val="fontstyle01"/>
          <w:sz w:val="24"/>
          <w:szCs w:val="24"/>
          <w:lang w:val="vi-VN"/>
        </w:rPr>
        <w:t>,</w:t>
      </w:r>
      <w:r w:rsidRPr="00581499">
        <w:rPr>
          <w:rStyle w:val="fontstyle01"/>
          <w:sz w:val="24"/>
          <w:szCs w:val="24"/>
        </w:rPr>
        <w:t xml:space="preserve"> </w:t>
      </w:r>
      <w:hyperlink r:id="rId5" w:history="1">
        <w:r w:rsidRPr="00581499">
          <w:rPr>
            <w:rStyle w:val="fontstyle01"/>
            <w:sz w:val="24"/>
            <w:szCs w:val="24"/>
          </w:rPr>
          <w:t>http://digestive.niddk.nih.gov/</w:t>
        </w:r>
      </w:hyperlink>
      <w:r w:rsidRPr="00581499">
        <w:rPr>
          <w:rStyle w:val="fontstyle01"/>
          <w:sz w:val="24"/>
          <w:szCs w:val="24"/>
        </w:rPr>
        <w:t xml:space="preserve"> ddiseases/pubs/gallstones/ (accessed December 16, 2014).</w:t>
      </w:r>
    </w:p>
    <w:p w:rsidR="00897D9B" w:rsidRPr="00581499" w:rsidRDefault="00897D9B" w:rsidP="00897D9B">
      <w:pPr>
        <w:pStyle w:val="ListParagraph"/>
        <w:numPr>
          <w:ilvl w:val="0"/>
          <w:numId w:val="2"/>
        </w:numPr>
        <w:tabs>
          <w:tab w:val="clear" w:pos="1134"/>
          <w:tab w:val="left" w:pos="284"/>
        </w:tabs>
        <w:spacing w:after="0" w:line="276" w:lineRule="auto"/>
        <w:ind w:left="0" w:firstLine="0"/>
        <w:rPr>
          <w:rStyle w:val="fontstyle01"/>
          <w:sz w:val="24"/>
          <w:szCs w:val="24"/>
        </w:rPr>
      </w:pPr>
      <w:r w:rsidRPr="00581499">
        <w:rPr>
          <w:rStyle w:val="fontstyle01"/>
          <w:i/>
          <w:iCs/>
          <w:sz w:val="24"/>
          <w:szCs w:val="24"/>
        </w:rPr>
        <w:t>‘‘Your Digestive System and How It Works.’’ National Institute of Diabetes and Digestive and Kidney Disease. April 2008</w:t>
      </w:r>
      <w:r w:rsidRPr="00581499">
        <w:rPr>
          <w:rStyle w:val="fontstyle01"/>
          <w:sz w:val="24"/>
          <w:szCs w:val="24"/>
          <w:lang w:val="vi-VN"/>
        </w:rPr>
        <w:t>,</w:t>
      </w:r>
      <w:r w:rsidRPr="00581499">
        <w:rPr>
          <w:rStyle w:val="fontstyle01"/>
          <w:sz w:val="24"/>
          <w:szCs w:val="24"/>
        </w:rPr>
        <w:t xml:space="preserve"> </w:t>
      </w:r>
      <w:hyperlink r:id="rId6" w:history="1">
        <w:r w:rsidRPr="00581499">
          <w:rPr>
            <w:rStyle w:val="fontstyle01"/>
            <w:sz w:val="24"/>
            <w:szCs w:val="24"/>
          </w:rPr>
          <w:t>http://digestive.niddk.nih.gov/ddiseases/</w:t>
        </w:r>
      </w:hyperlink>
      <w:r w:rsidRPr="00581499">
        <w:rPr>
          <w:rStyle w:val="fontstyle01"/>
          <w:sz w:val="24"/>
          <w:szCs w:val="24"/>
        </w:rPr>
        <w:t xml:space="preserve"> pubs/yrdd/ (accessed December 16, 2014).</w:t>
      </w:r>
    </w:p>
    <w:p w:rsidR="00897D9B" w:rsidRPr="00581499" w:rsidRDefault="00897D9B" w:rsidP="00897D9B">
      <w:pPr>
        <w:pStyle w:val="ListParagraph"/>
        <w:numPr>
          <w:ilvl w:val="0"/>
          <w:numId w:val="2"/>
        </w:numPr>
        <w:tabs>
          <w:tab w:val="clear" w:pos="1134"/>
          <w:tab w:val="left" w:pos="284"/>
        </w:tabs>
        <w:spacing w:after="0" w:line="276" w:lineRule="auto"/>
        <w:ind w:left="0" w:firstLine="0"/>
        <w:rPr>
          <w:rStyle w:val="fontstyle01"/>
          <w:sz w:val="24"/>
          <w:szCs w:val="24"/>
        </w:rPr>
      </w:pPr>
      <w:r w:rsidRPr="00581499">
        <w:rPr>
          <w:rStyle w:val="fontstyle01"/>
          <w:sz w:val="24"/>
          <w:szCs w:val="24"/>
        </w:rPr>
        <w:t xml:space="preserve">National Digestive Diseases Information Clearinghouse, Information Way, Bethesda, MD, 20892-3570, (800) 891-5389, </w:t>
      </w:r>
      <w:hyperlink r:id="rId7" w:history="1">
        <w:r w:rsidRPr="00581499">
          <w:rPr>
            <w:rStyle w:val="fontstyle01"/>
            <w:sz w:val="24"/>
            <w:szCs w:val="24"/>
          </w:rPr>
          <w:t>http://www.niddk.nih.gov/health/digest/</w:t>
        </w:r>
      </w:hyperlink>
      <w:r w:rsidRPr="00581499">
        <w:rPr>
          <w:rStyle w:val="fontstyle01"/>
          <w:sz w:val="24"/>
          <w:szCs w:val="24"/>
        </w:rPr>
        <w:t xml:space="preserve"> nddic.htm. </w:t>
      </w:r>
    </w:p>
    <w:p w:rsidR="00897D9B" w:rsidRPr="00581499" w:rsidRDefault="00897D9B" w:rsidP="00897D9B">
      <w:pPr>
        <w:pStyle w:val="ListParagraph"/>
        <w:numPr>
          <w:ilvl w:val="0"/>
          <w:numId w:val="2"/>
        </w:numPr>
        <w:tabs>
          <w:tab w:val="clear" w:pos="1134"/>
          <w:tab w:val="left" w:pos="284"/>
        </w:tabs>
        <w:spacing w:after="0" w:line="276" w:lineRule="auto"/>
        <w:ind w:left="0" w:firstLine="0"/>
        <w:rPr>
          <w:rStyle w:val="fontstyle01"/>
          <w:sz w:val="24"/>
          <w:szCs w:val="24"/>
        </w:rPr>
      </w:pPr>
      <w:r w:rsidRPr="00581499">
        <w:rPr>
          <w:rStyle w:val="fontstyle01"/>
          <w:sz w:val="24"/>
          <w:szCs w:val="24"/>
        </w:rPr>
        <w:t xml:space="preserve">National Institutes of Health (NIH), 9000 Rockville Pike, Bethesda, MD, 20892, 301-496-4000, </w:t>
      </w:r>
      <w:hyperlink r:id="rId8" w:history="1">
        <w:r w:rsidRPr="00581499">
          <w:rPr>
            <w:rStyle w:val="fontstyle01"/>
            <w:sz w:val="24"/>
            <w:szCs w:val="24"/>
          </w:rPr>
          <w:t>http://www.nih</w:t>
        </w:r>
      </w:hyperlink>
      <w:r w:rsidRPr="00581499">
        <w:rPr>
          <w:rStyle w:val="fontstyle01"/>
          <w:sz w:val="24"/>
          <w:szCs w:val="24"/>
        </w:rPr>
        <w:t>. gov/index.html</w:t>
      </w:r>
    </w:p>
    <w:p w:rsidR="00897D9B" w:rsidRPr="00581499" w:rsidRDefault="00897D9B" w:rsidP="00897D9B">
      <w:pPr>
        <w:spacing w:before="120" w:line="276" w:lineRule="auto"/>
        <w:ind w:firstLine="567"/>
      </w:pPr>
    </w:p>
    <w:p w:rsidR="000B6BAA" w:rsidRPr="00897D9B" w:rsidRDefault="000B6BAA" w:rsidP="00897D9B">
      <w:pPr>
        <w:ind w:firstLine="0"/>
        <w:rPr>
          <w:rFonts w:eastAsia="Calibri"/>
        </w:rPr>
      </w:pPr>
      <w:bookmarkStart w:id="2" w:name="_GoBack"/>
      <w:bookmarkEnd w:id="2"/>
    </w:p>
    <w:sectPr w:rsidR="000B6BAA" w:rsidRPr="00897D9B"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34693"/>
    <w:rsid w:val="0034219C"/>
    <w:rsid w:val="00351C42"/>
    <w:rsid w:val="00374CBE"/>
    <w:rsid w:val="00381949"/>
    <w:rsid w:val="00381E4A"/>
    <w:rsid w:val="003838FF"/>
    <w:rsid w:val="00391A26"/>
    <w:rsid w:val="003A3820"/>
    <w:rsid w:val="003C4B5A"/>
    <w:rsid w:val="0041721F"/>
    <w:rsid w:val="00417CE8"/>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B22C3"/>
    <w:rsid w:val="005D59D5"/>
    <w:rsid w:val="00600DBD"/>
    <w:rsid w:val="0060249D"/>
    <w:rsid w:val="00607EE7"/>
    <w:rsid w:val="0062421E"/>
    <w:rsid w:val="00643571"/>
    <w:rsid w:val="00652E8A"/>
    <w:rsid w:val="00691048"/>
    <w:rsid w:val="00693761"/>
    <w:rsid w:val="006B6DD6"/>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45AA"/>
    <w:rsid w:val="00BE6553"/>
    <w:rsid w:val="00BF4E16"/>
    <w:rsid w:val="00C05A6E"/>
    <w:rsid w:val="00C21851"/>
    <w:rsid w:val="00C24486"/>
    <w:rsid w:val="00C35B9F"/>
    <w:rsid w:val="00C6032C"/>
    <w:rsid w:val="00C6320B"/>
    <w:rsid w:val="00C67146"/>
    <w:rsid w:val="00C77C7A"/>
    <w:rsid w:val="00CA24F5"/>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8339"/>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h" TargetMode="External"/><Relationship Id="rId3" Type="http://schemas.openxmlformats.org/officeDocument/2006/relationships/settings" Target="settings.xml"/><Relationship Id="rId7" Type="http://schemas.openxmlformats.org/officeDocument/2006/relationships/hyperlink" Target="http://www.niddk.nih.gov/health/dig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gestive.niddk.nih.gov/ddiseases/" TargetMode="External"/><Relationship Id="rId5" Type="http://schemas.openxmlformats.org/officeDocument/2006/relationships/hyperlink" Target="http://digestive.niddk.nih.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194</cp:revision>
  <dcterms:created xsi:type="dcterms:W3CDTF">2025-11-24T04:30:00Z</dcterms:created>
  <dcterms:modified xsi:type="dcterms:W3CDTF">2025-12-08T09:04:00Z</dcterms:modified>
</cp:coreProperties>
</file>